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</w:r>
      <w:r>
        <w:rPr>
          <w:rFonts w:ascii="Times New Roman CYR" w:hAnsi="Times New Roman CYR" w:cs="Times New Roman CYR"/>
          <w:b/>
          <w:bCs/>
          <w:sz w:val="28"/>
          <w:szCs w:val="28"/>
        </w:rPr>
      </w:r>
    </w:p>
    <w:p>
      <w:pPr>
        <w:jc w:val="center"/>
      </w:pPr>
      <w:r>
        <w:rPr>
          <w:rFonts w:ascii="Times New Roman CYR" w:hAnsi="Times New Roman CYR" w:cs="Times New Roman CYR"/>
          <w:bCs/>
          <w:sz w:val="28"/>
          <w:szCs w:val="28"/>
          <w:highlight w:val="none"/>
        </w:rPr>
      </w:r>
      <w:r>
        <w:rPr>
          <w:rFonts w:ascii="Times New Roman CYR" w:hAnsi="Times New Roman CYR" w:cs="Times New Roman CYR"/>
          <w:bCs/>
          <w:sz w:val="28"/>
          <w:szCs w:val="28"/>
          <w:highlight w:val="none"/>
        </w:rPr>
      </w:r>
      <w:r/>
    </w:p>
    <w:p>
      <w:pPr>
        <w:pStyle w:val="860"/>
        <w:jc w:val="center"/>
        <w:rPr>
          <w:rFonts w:ascii="Times New Roman CYR" w:hAnsi="Times New Roman CYR" w:cs="Times New Roman CYR"/>
          <w:sz w:val="28"/>
          <w:szCs w:val="28"/>
          <w:highlight w:val="none"/>
        </w:rPr>
      </w:pPr>
      <w:r>
        <w:rPr>
          <w:sz w:val="28"/>
          <w:szCs w:val="28"/>
        </w:rPr>
        <w:t xml:space="preserve">Уважаемый руководитель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!</w:t>
      </w:r>
      <w:r>
        <w:rPr>
          <w:rFonts w:ascii="Times New Roman CYR" w:hAnsi="Times New Roman CYR" w:cs="Times New Roman CYR"/>
          <w:sz w:val="28"/>
          <w:szCs w:val="28"/>
          <w:highlight w:val="none"/>
        </w:rPr>
      </w:r>
      <w:r>
        <w:rPr>
          <w:rFonts w:ascii="Times New Roman CYR" w:hAnsi="Times New Roman CYR" w:cs="Times New Roman CYR"/>
          <w:sz w:val="28"/>
          <w:szCs w:val="28"/>
          <w:highlight w:val="none"/>
        </w:rPr>
      </w:r>
    </w:p>
    <w:p>
      <w:pPr>
        <w:pStyle w:val="86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Приказом Росстата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31.07.2023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№ 3</w:t>
      </w:r>
      <w:r>
        <w:rPr>
          <w:sz w:val="28"/>
          <w:szCs w:val="28"/>
          <w:shd w:val="clear" w:color="auto" w:fill="ffffff"/>
        </w:rPr>
        <w:t xml:space="preserve">6</w:t>
      </w:r>
      <w:r>
        <w:rPr>
          <w:sz w:val="28"/>
          <w:szCs w:val="28"/>
          <w:shd w:val="clear" w:color="auto" w:fill="ffffff"/>
        </w:rPr>
        <w:t xml:space="preserve">7</w:t>
      </w:r>
      <w:r>
        <w:rPr>
          <w:sz w:val="28"/>
          <w:szCs w:val="28"/>
          <w:shd w:val="clear" w:color="auto" w:fill="ffffff"/>
        </w:rPr>
        <w:t xml:space="preserve"> для отчета за 2023 год утвержден</w:t>
      </w:r>
      <w:r>
        <w:rPr>
          <w:sz w:val="28"/>
          <w:szCs w:val="28"/>
          <w:shd w:val="clear" w:color="auto" w:fill="ffffff"/>
        </w:rPr>
        <w:t xml:space="preserve">а</w:t>
      </w:r>
      <w:r>
        <w:rPr>
          <w:rFonts w:eastAsia="Calibri"/>
          <w:sz w:val="28"/>
          <w:szCs w:val="28"/>
          <w:lang w:eastAsia="en-US"/>
        </w:rPr>
        <w:fldChar w:fldCharType="begin"/>
      </w:r>
      <w:r>
        <w:rPr>
          <w:rFonts w:eastAsia="Calibri"/>
          <w:sz w:val="28"/>
          <w:szCs w:val="28"/>
          <w:lang w:eastAsia="en-US"/>
        </w:rPr>
        <w:instrText xml:space="preserve">HYPERLINK https://login.consultant.ru/link/?req=doc&amp;base=LAW&amp;n=457718&amp;dst=100017 </w:instrText>
      </w:r>
      <w:r>
        <w:rPr>
          <w:rFonts w:eastAsia="Calibri"/>
          <w:sz w:val="28"/>
          <w:szCs w:val="28"/>
          <w:lang w:eastAsia="en-US"/>
        </w:rPr>
        <w:fldChar w:fldCharType="separate"/>
        <w:fldChar w:fldCharType="end"/>
      </w:r>
      <w:r>
        <w:rPr>
          <w:rFonts w:eastAsia="Calibri"/>
          <w:sz w:val="28"/>
          <w:szCs w:val="28"/>
          <w:lang w:eastAsia="en-US"/>
        </w:rPr>
        <w:t xml:space="preserve"> форм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федерального статистического наблюдения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№ 11 «Сведения о наличии и движении основных фондов (средств) и других нефинансовых активов»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.</w:t>
      </w:r>
      <w:r>
        <w:rPr>
          <w:rFonts w:eastAsia="Calibri"/>
          <w:b w:val="0"/>
          <w:bCs w:val="0"/>
          <w:sz w:val="28"/>
          <w:szCs w:val="28"/>
        </w:rPr>
      </w:r>
      <w:r>
        <w:rPr>
          <w:rFonts w:eastAsia="Calibri"/>
          <w:b w:val="0"/>
          <w:bCs w:val="0"/>
          <w:sz w:val="28"/>
          <w:szCs w:val="28"/>
        </w:rPr>
      </w:r>
    </w:p>
    <w:p>
      <w:pPr>
        <w:pStyle w:val="860"/>
        <w:ind w:firstLine="709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 заполнении отчетов по форм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 № 11 следует руководствоваться </w:t>
      </w:r>
      <w:r>
        <w:rPr>
          <w:rFonts w:eastAsia="Calibri"/>
          <w:sz w:val="28"/>
          <w:szCs w:val="28"/>
          <w:lang w:eastAsia="en-US"/>
        </w:rPr>
        <w:t xml:space="preserve">Указания</w:t>
      </w:r>
      <w:r>
        <w:rPr>
          <w:rFonts w:eastAsia="Calibri"/>
          <w:sz w:val="28"/>
          <w:szCs w:val="28"/>
          <w:lang w:eastAsia="en-US"/>
        </w:rPr>
        <w:t xml:space="preserve">ми</w:t>
      </w:r>
      <w:r>
        <w:rPr>
          <w:rFonts w:eastAsia="Calibri"/>
          <w:sz w:val="28"/>
          <w:szCs w:val="28"/>
          <w:lang w:eastAsia="en-US"/>
        </w:rPr>
        <w:t xml:space="preserve">, утвержденными приказом Росстата от 05.12.2023 № 622, 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размещенными </w:t>
      </w:r>
      <w:r>
        <w:rPr>
          <w:sz w:val="28"/>
          <w:szCs w:val="28"/>
          <w:shd w:val="clear" w:color="auto" w:fill="ffffff"/>
        </w:rPr>
        <w:t xml:space="preserve">на официальном портале Росстата </w:t>
      </w:r>
      <w:r>
        <w:rPr>
          <w:b/>
          <w:bCs/>
          <w:sz w:val="28"/>
          <w:szCs w:val="28"/>
          <w:shd w:val="clear" w:color="auto" w:fill="ffffff"/>
        </w:rPr>
        <w:t xml:space="preserve">https://rosstat.gov.ru</w:t>
      </w:r>
      <w:r>
        <w:rPr>
          <w:sz w:val="28"/>
          <w:szCs w:val="28"/>
          <w:shd w:val="clear" w:color="auto" w:fill="ffffff"/>
        </w:rPr>
        <w:t xml:space="preserve">/ по адресу: Официальная статистика / Предпринимательство / Основные фонды / Методология.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9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Форму № 11 предоставляют </w:t>
      </w:r>
      <w:r>
        <w:rPr>
          <w:sz w:val="28"/>
          <w:szCs w:val="28"/>
        </w:rPr>
        <w:t xml:space="preserve">юридические лица, независимо от вида их экономической деятельности, формы собственности и организационно-правовой формы, кроме субъектов малого предпринимательства и некоммерческих организаций.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b/>
          <w:bCs/>
          <w:sz w:val="28"/>
          <w:szCs w:val="28"/>
          <w:highlight w:val="none"/>
        </w:rPr>
      </w:pPr>
      <w:r>
        <w:rPr>
          <w:rFonts w:eastAsia="Calibri"/>
          <w:b/>
          <w:sz w:val="28"/>
          <w:szCs w:val="28"/>
          <w:lang w:eastAsia="en-US"/>
        </w:rPr>
        <w:t xml:space="preserve">Отчеты предоставляются в </w:t>
      </w:r>
      <w:r>
        <w:rPr>
          <w:rFonts w:eastAsia="Calibri"/>
          <w:b/>
          <w:sz w:val="28"/>
          <w:szCs w:val="28"/>
          <w:lang w:eastAsia="en-US"/>
        </w:rPr>
        <w:t xml:space="preserve">Луганск</w:t>
      </w:r>
      <w:r>
        <w:rPr>
          <w:rFonts w:eastAsia="Calibri"/>
          <w:b/>
          <w:sz w:val="28"/>
          <w:szCs w:val="28"/>
          <w:lang w:eastAsia="en-US"/>
        </w:rPr>
        <w:t xml:space="preserve">стат или его районные подразделения в форме электронного документа, подписанного цифровой подписью, </w:t>
      </w:r>
      <w:r>
        <w:rPr>
          <w:rFonts w:eastAsia="Calibri"/>
          <w:b/>
          <w:sz w:val="28"/>
          <w:szCs w:val="28"/>
          <w:lang w:eastAsia="en-US"/>
        </w:rPr>
        <w:t xml:space="preserve">или на бумажном носителе </w:t>
      </w:r>
      <w:r>
        <w:rPr>
          <w:rFonts w:eastAsia="Calibri"/>
          <w:b/>
          <w:sz w:val="28"/>
          <w:szCs w:val="28"/>
          <w:lang w:eastAsia="en-US"/>
        </w:rPr>
        <w:t xml:space="preserve">с 15 февраля по 1 апреля 2024 года.</w:t>
      </w:r>
      <w:r>
        <w:rPr>
          <w:rFonts w:eastAsia="Calibri"/>
          <w:b/>
          <w:bCs/>
          <w:sz w:val="28"/>
          <w:szCs w:val="28"/>
          <w:highlight w:val="none"/>
        </w:rPr>
      </w:r>
      <w:r>
        <w:rPr>
          <w:rFonts w:eastAsia="Calibri"/>
          <w:b/>
          <w:bCs/>
          <w:sz w:val="28"/>
          <w:szCs w:val="28"/>
          <w:highlight w:val="none"/>
        </w:rPr>
      </w:r>
    </w:p>
    <w:p>
      <w:pPr>
        <w:ind w:firstLine="708"/>
        <w:jc w:val="both"/>
        <w:spacing w:before="80"/>
        <w:rPr>
          <w:rFonts w:ascii="Times New Roman" w:hAnsi="Times New Roman" w:eastAsia="Times New Roman" w:cs="Times New Roman"/>
          <w:b w:val="0"/>
          <w:bCs w:val="0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en-US"/>
        </w:rPr>
      </w:r>
      <w:r>
        <w:rPr>
          <w:rFonts w:ascii="Times New Roman" w:hAnsi="Times New Roman" w:eastAsia="Times New Roman" w:cs="Times New Roman"/>
          <w:color w:val="25353d"/>
          <w:sz w:val="28"/>
          <w:szCs w:val="28"/>
          <w:highlight w:val="white"/>
        </w:rPr>
        <w:t xml:space="preserve">Ознакомиться со схемой действий для предоставления отчетности в электронном виде можно на сайте Луганскстата (</w:t>
      </w:r>
      <w:hyperlink r:id="rId10" w:tooltip="https://81.rosstat.gov.ru/" w:history="1">
        <w:r>
          <w:rPr>
            <w:rStyle w:val="866"/>
            <w:rFonts w:ascii="Times New Roman" w:hAnsi="Times New Roman" w:eastAsia="Times New Roman" w:cs="Times New Roman"/>
            <w:b/>
            <w:bCs/>
            <w:color w:val="auto"/>
            <w:sz w:val="28"/>
            <w:szCs w:val="28"/>
            <w:highlight w:val="white"/>
            <w:u w:val="single"/>
          </w:rPr>
          <w:t xml:space="preserve">https://81.rosstat.gov.ru</w:t>
        </w:r>
      </w:hyperlink>
      <w:r>
        <w:rPr>
          <w:rFonts w:ascii="Times New Roman" w:hAnsi="Times New Roman" w:eastAsia="Times New Roman" w:cs="Times New Roman"/>
          <w:color w:val="25353d"/>
          <w:sz w:val="28"/>
          <w:szCs w:val="28"/>
          <w:highlight w:val="white"/>
        </w:rPr>
        <w:t xml:space="preserve">) в разделе Респондентам/Порядок предоставления статистической отчетности в электронном виде. </w:t>
      </w:r>
      <w:r>
        <w:rPr>
          <w:rFonts w:ascii="Times New Roman" w:hAnsi="Times New Roman" w:eastAsia="Times New Roman" w:cs="Times New Roman"/>
          <w:b w:val="0"/>
          <w:bCs w:val="0"/>
          <w:color w:val="25353d"/>
          <w:sz w:val="28"/>
          <w:szCs w:val="28"/>
          <w:highlight w:val="white"/>
        </w:rPr>
        <w:t xml:space="preserve">Для предоставления отчетности в электронном виде необходимо создать личный кабинет в Системе сбора отчетности (</w:t>
      </w:r>
      <w:hyperlink r:id="rId11" w:tooltip="https://websbor.rosstat.gov.ru/online/" w:history="1">
        <w:r>
          <w:rPr>
            <w:rStyle w:val="866"/>
            <w:rFonts w:ascii="Times New Roman" w:hAnsi="Times New Roman" w:eastAsia="Times New Roman" w:cs="Times New Roman"/>
            <w:b/>
            <w:bCs/>
            <w:color w:val="auto"/>
            <w:sz w:val="28"/>
            <w:szCs w:val="28"/>
            <w:highlight w:val="white"/>
            <w:u w:val="single"/>
          </w:rPr>
          <w:t xml:space="preserve">https://websbor.rosstat.gov.ru/online</w:t>
        </w:r>
      </w:hyperlink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r>
      <w:hyperlink r:id="rId12" w:tooltip="https://websbor.rosstat.gov.ru/online/" w:history="1">
        <w:r>
          <w:rPr>
            <w:rStyle w:val="866"/>
            <w:rFonts w:ascii="Times New Roman" w:hAnsi="Times New Roman" w:eastAsia="Times New Roman" w:cs="Times New Roman"/>
            <w:b/>
            <w:bCs/>
            <w:color w:val="auto"/>
            <w:sz w:val="28"/>
            <w:szCs w:val="28"/>
            <w:highlight w:val="white"/>
            <w:u w:val="single"/>
          </w:rPr>
          <w:t xml:space="preserve">/</w:t>
        </w:r>
      </w:hyperlink>
      <w:r>
        <w:rPr>
          <w:rFonts w:ascii="Times New Roman" w:hAnsi="Times New Roman" w:eastAsia="Times New Roman" w:cs="Times New Roman"/>
          <w:b w:val="0"/>
          <w:bCs w:val="0"/>
          <w:color w:val="25353d"/>
          <w:sz w:val="28"/>
          <w:szCs w:val="28"/>
          <w:highlight w:val="white"/>
        </w:rPr>
        <w:t xml:space="preserve">) и иметь квалифицированную электронную подпись.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 Шаблон для предоставления отчетности в электронном виде в формате *xml размещается на сайте Росстата </w:t>
      </w:r>
      <w:r>
        <w:rPr>
          <w:b/>
          <w:bCs/>
          <w:sz w:val="28"/>
          <w:szCs w:val="28"/>
          <w:highlight w:val="none"/>
          <w:shd w:val="clear" w:color="auto" w:fill="ffffff"/>
        </w:rPr>
        <w:t xml:space="preserve">https://rosstat.gov.ru</w:t>
      </w:r>
      <w:r>
        <w:rPr>
          <w:sz w:val="28"/>
          <w:szCs w:val="28"/>
          <w:highlight w:val="none"/>
          <w:shd w:val="clear" w:color="auto" w:fill="ffffff"/>
        </w:rPr>
        <w:t xml:space="preserve">/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в разделе Респондентам/Формы фед.стат. наблюдения/Альбом форм фед.стат.наблюдения (далее в строку поиска по формам необходимо ввести «11»).</w:t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6"/>
          <w:szCs w:val="26"/>
          <w:highlight w:val="none"/>
        </w:rPr>
      </w:r>
    </w:p>
    <w:p>
      <w:pPr>
        <w:ind w:firstLine="708"/>
        <w:jc w:val="both"/>
        <w:spacing w:before="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В соответствии с приказом Росстата от 11 янва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ря 2024 года № 3 «О внесении изменений в отдельные указания по заполнению форм федерального статистического наблюдения» юридические лица, зарегистрированные на территориях Луганской Народной Республики, Донецкой Народной Республики, Запорожской и Херсонско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lang w:eastAsia="en-US"/>
        </w:rPr>
        <w:t xml:space="preserve">й областей, могут предоставлять форму № 11 за 2023 год при наличии наблюдаемого явления. В случае отсутствия наблюдаемого явления предоставление формы, не заполненной значениями показателей («пустой отчет»), указанными респондентами не требуется.</w:t>
      </w: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Перечень предприятий и организаций, подлежащих обследованию по форм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 № 11 будет размещен в </w:t>
      </w:r>
      <w:r>
        <w:rPr>
          <w:rFonts w:eastAsia="Calibri"/>
          <w:sz w:val="28"/>
          <w:szCs w:val="28"/>
          <w:lang w:eastAsia="en-US"/>
        </w:rPr>
        <w:t xml:space="preserve">Сервисе информирования респондентов </w:t>
      </w:r>
      <w:r>
        <w:rPr>
          <w:rFonts w:eastAsia="Calibri"/>
          <w:b/>
          <w:bCs/>
          <w:sz w:val="28"/>
          <w:szCs w:val="28"/>
          <w:lang w:eastAsia="en-US"/>
        </w:rPr>
        <w:t xml:space="preserve">https://websbor.rosstat.gov.ru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 позднее 15 февраля 2024 года.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Обращаем внимание, что в форм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 № 11 за 2023 отчетный год организация отражает только данные об основных средствах, имеющих стоимость свыше </w:t>
        <w:br/>
        <w:t xml:space="preserve">100 000 рублей за единицу по с</w:t>
      </w:r>
      <w:r>
        <w:rPr>
          <w:rFonts w:eastAsia="Calibri"/>
          <w:sz w:val="28"/>
          <w:szCs w:val="28"/>
          <w:lang w:eastAsia="en-US"/>
        </w:rPr>
        <w:t xml:space="preserve">остоянию на конец года. Основные средства, имеющие стоимость, равную 100 000 рублей и ниже, в форме не отражаются ни в наличии на конец года, ни в движении в течение года. При этом во внимание берется первоначальная стоимость, а не балансовая (остаточная).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Данные приводятся в тех единицах измерения, которые указаны в форме, </w:t>
      </w:r>
      <w:r>
        <w:rPr>
          <w:rFonts w:eastAsia="Calibri"/>
          <w:b/>
          <w:sz w:val="28"/>
          <w:szCs w:val="28"/>
          <w:lang w:eastAsia="en-US"/>
        </w:rPr>
        <w:t xml:space="preserve">в целых числах.</w:t>
      </w:r>
      <w:r>
        <w:rPr>
          <w:rFonts w:eastAsia="Calibri"/>
          <w:b/>
          <w:sz w:val="28"/>
          <w:szCs w:val="28"/>
        </w:rPr>
      </w:r>
      <w:r>
        <w:rPr>
          <w:rFonts w:eastAsia="Calibri"/>
          <w:b/>
          <w:sz w:val="28"/>
          <w:szCs w:val="28"/>
        </w:rPr>
      </w:r>
    </w:p>
    <w:p>
      <w:pPr>
        <w:pStyle w:val="860"/>
        <w:ind w:firstLine="708"/>
        <w:jc w:val="both"/>
        <w:rPr>
          <w:rFonts w:eastAsia="Calibri"/>
          <w:b/>
          <w:sz w:val="28"/>
          <w:szCs w:val="28"/>
        </w:rPr>
        <w:outlineLvl w:val="0"/>
      </w:pPr>
      <w:r>
        <w:rPr>
          <w:rFonts w:eastAsia="Calibri"/>
          <w:b/>
          <w:sz w:val="28"/>
          <w:szCs w:val="28"/>
          <w:lang w:eastAsia="en-US"/>
        </w:rPr>
        <w:t xml:space="preserve">Как заполнить и представить форму № 11, если у организации есть обособленные подразделения:</w:t>
      </w:r>
      <w:r>
        <w:rPr>
          <w:rFonts w:eastAsia="Calibri"/>
          <w:b/>
          <w:sz w:val="28"/>
          <w:szCs w:val="28"/>
        </w:rPr>
      </w:r>
      <w:r>
        <w:rPr>
          <w:rFonts w:eastAsia="Calibri"/>
          <w:b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Юридические лица, имеющие обособленные подразделения только на территории Луганской Народной Республики, в </w:t>
      </w:r>
      <w:r>
        <w:rPr>
          <w:rFonts w:eastAsia="Calibri"/>
          <w:sz w:val="28"/>
          <w:szCs w:val="28"/>
          <w:lang w:val="en-US" w:eastAsia="en-US"/>
        </w:rPr>
        <w:t xml:space="preserve">I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 xml:space="preserve">II</w:t>
      </w:r>
      <w:r>
        <w:rPr>
          <w:rFonts w:eastAsia="Calibri"/>
          <w:sz w:val="28"/>
          <w:szCs w:val="28"/>
          <w:lang w:eastAsia="en-US"/>
        </w:rPr>
        <w:t xml:space="preserve">, и </w:t>
      </w:r>
      <w:r>
        <w:rPr>
          <w:rFonts w:eastAsia="Calibri"/>
          <w:sz w:val="28"/>
          <w:szCs w:val="28"/>
          <w:lang w:val="en-US" w:eastAsia="en-US"/>
        </w:rPr>
        <w:t xml:space="preserve">III</w:t>
      </w:r>
      <w:r>
        <w:rPr>
          <w:rFonts w:eastAsia="Calibri"/>
          <w:sz w:val="28"/>
          <w:szCs w:val="28"/>
          <w:lang w:eastAsia="en-US"/>
        </w:rPr>
        <w:t xml:space="preserve"> разделах учитывают данные по головному подразделению вместе с данными по обособленным подразделениям. В разделе </w:t>
      </w:r>
      <w:r>
        <w:rPr>
          <w:rFonts w:eastAsia="Calibri"/>
          <w:sz w:val="28"/>
          <w:szCs w:val="28"/>
          <w:lang w:val="en-US" w:eastAsia="en-US"/>
        </w:rPr>
        <w:t xml:space="preserve">IV</w:t>
      </w:r>
      <w:r>
        <w:rPr>
          <w:rFonts w:eastAsia="Calibri"/>
          <w:sz w:val="28"/>
          <w:szCs w:val="28"/>
          <w:lang w:eastAsia="en-US"/>
        </w:rPr>
        <w:t xml:space="preserve"> данные о среднегодовой стоимости распределяются по головному подразделению и всем другим подразделениям отдельно. При этом, сумма строк 42 по графе 4 раздела </w:t>
      </w:r>
      <w:r>
        <w:rPr>
          <w:rFonts w:eastAsia="Calibri"/>
          <w:sz w:val="28"/>
          <w:szCs w:val="28"/>
          <w:lang w:val="en-US" w:eastAsia="en-US"/>
        </w:rPr>
        <w:t xml:space="preserve">IV</w:t>
      </w:r>
      <w:r>
        <w:rPr>
          <w:rFonts w:eastAsia="Calibri"/>
          <w:sz w:val="28"/>
          <w:szCs w:val="28"/>
          <w:lang w:eastAsia="en-US"/>
        </w:rPr>
        <w:t xml:space="preserve"> равняется строке 24 раздела </w:t>
      </w:r>
      <w:r>
        <w:rPr>
          <w:rFonts w:eastAsia="Calibri"/>
          <w:sz w:val="28"/>
          <w:szCs w:val="28"/>
          <w:lang w:val="en-US" w:eastAsia="en-US"/>
        </w:rPr>
        <w:t xml:space="preserve">III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Юридические лица, имеющие</w:t>
      </w:r>
      <w:r>
        <w:rPr>
          <w:rFonts w:eastAsia="Calibri"/>
          <w:sz w:val="28"/>
          <w:szCs w:val="28"/>
          <w:lang w:eastAsia="en-US"/>
        </w:rPr>
        <w:t xml:space="preserve"> обособленны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 подразделени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 в других субъектах Российской </w:t>
      </w:r>
      <w:r>
        <w:rPr>
          <w:rFonts w:eastAsia="Calibri"/>
          <w:sz w:val="28"/>
          <w:szCs w:val="28"/>
          <w:lang w:eastAsia="en-US"/>
        </w:rPr>
        <w:t xml:space="preserve">Ф</w:t>
      </w:r>
      <w:r>
        <w:rPr>
          <w:rFonts w:eastAsia="Calibri"/>
          <w:sz w:val="28"/>
          <w:szCs w:val="28"/>
          <w:lang w:eastAsia="en-US"/>
        </w:rPr>
        <w:t xml:space="preserve">едерации, данные по форме предоставляют как по каждому обособленному подраз</w:t>
      </w:r>
      <w:r>
        <w:rPr>
          <w:rFonts w:eastAsia="Calibri"/>
          <w:sz w:val="28"/>
          <w:szCs w:val="28"/>
          <w:lang w:eastAsia="en-US"/>
        </w:rPr>
        <w:t xml:space="preserve">делению, так и по юридическому лицу без этих обособленных подразделений. Если несколько таких обособленных подразделений с одинаковым видом экономической деятельности находятся на территории одного региона, допускается предоставление одного сводного отчета</w:t>
      </w:r>
      <w:r>
        <w:rPr>
          <w:rFonts w:eastAsia="Calibri"/>
          <w:sz w:val="28"/>
          <w:szCs w:val="28"/>
          <w:lang w:eastAsia="en-US"/>
        </w:rPr>
        <w:t xml:space="preserve"> с кодом ОКПО одного из подразделений.</w:t>
      </w:r>
      <w:r>
        <w:rPr>
          <w:rFonts w:eastAsia="Calibri"/>
          <w:sz w:val="28"/>
          <w:szCs w:val="28"/>
          <w:lang w:eastAsia="en-US"/>
        </w:rPr>
        <w:t xml:space="preserve"> Отчеты предоставляются в территориальные органы статистики по месту расположения этих подразделений.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Организации, не имеющие обособленных подразделений, заполняют данную форму в обычном порядке. В этом случае, строка 42 по графе 4 раздела </w:t>
      </w:r>
      <w:r>
        <w:rPr>
          <w:rFonts w:eastAsia="Calibri"/>
          <w:sz w:val="28"/>
          <w:szCs w:val="28"/>
          <w:lang w:val="en-US" w:eastAsia="en-US"/>
        </w:rPr>
        <w:t xml:space="preserve">I</w:t>
      </w:r>
      <w:r>
        <w:rPr>
          <w:rFonts w:eastAsia="Calibri"/>
          <w:sz w:val="28"/>
          <w:szCs w:val="28"/>
          <w:lang w:eastAsia="en-US"/>
        </w:rPr>
        <w:t xml:space="preserve">V «Среднегодовая полная учетная стоимость» будет равняться строке 24 раздела III. 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При заполнении разделов формы № 11 особое внимание необходимо обратить:</w:t>
      </w:r>
      <w:r>
        <w:rPr>
          <w:rFonts w:eastAsia="Calibri"/>
          <w:b/>
          <w:sz w:val="28"/>
          <w:szCs w:val="28"/>
        </w:rPr>
      </w:r>
      <w:r>
        <w:rPr>
          <w:rFonts w:eastAsia="Calibri"/>
          <w:b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</w:t>
      </w:r>
      <w:r>
        <w:rPr>
          <w:b/>
          <w:sz w:val="28"/>
          <w:szCs w:val="28"/>
        </w:rPr>
        <w:t xml:space="preserve">здел </w:t>
      </w:r>
      <w:r>
        <w:rPr>
          <w:b/>
          <w:sz w:val="28"/>
          <w:szCs w:val="28"/>
          <w:lang w:val="en-US"/>
        </w:rPr>
        <w:t xml:space="preserve">I</w:t>
      </w:r>
      <w:r>
        <w:rPr>
          <w:b/>
          <w:sz w:val="28"/>
          <w:szCs w:val="28"/>
        </w:rPr>
        <w:t xml:space="preserve"> «Наличие, движение и состав основных фондов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ind w:firstLine="708"/>
        <w:jc w:val="both"/>
        <w:spacing w:before="80"/>
        <w:shd w:val="clear" w:color="ffffff" w:fill="ffffff"/>
        <w:rPr>
          <w:sz w:val="26"/>
          <w:szCs w:val="26"/>
          <w:highlight w:val="none"/>
        </w:rPr>
      </w:pPr>
      <w:r>
        <w:rPr>
          <w:sz w:val="28"/>
          <w:szCs w:val="28"/>
          <w:highlight w:val="none"/>
        </w:rPr>
        <w:t xml:space="preserve">Сведения на начало отчетного года в форме </w:t>
      </w:r>
      <w:r>
        <w:rPr>
          <w:b/>
          <w:bCs/>
          <w:sz w:val="28"/>
          <w:szCs w:val="28"/>
          <w:highlight w:val="none"/>
        </w:rPr>
        <w:t xml:space="preserve">не указываются</w:t>
      </w:r>
      <w:r>
        <w:rPr>
          <w:sz w:val="28"/>
          <w:szCs w:val="28"/>
          <w:highlight w:val="none"/>
        </w:rPr>
        <w:t xml:space="preserve">. Отражается движение основных фондов в течение года и остаток основных фондов на конец отчетного года.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ind w:firstLine="708"/>
        <w:jc w:val="both"/>
        <w:spacing w:before="80"/>
        <w:shd w:val="clear" w:color="ffffff" w:fill="ffffff"/>
        <w:rPr>
          <w:sz w:val="26"/>
          <w:szCs w:val="26"/>
          <w:highlight w:val="none"/>
        </w:rPr>
      </w:pPr>
      <w:r>
        <w:rPr>
          <w:sz w:val="28"/>
          <w:szCs w:val="28"/>
          <w:highlight w:val="none"/>
        </w:rPr>
        <w:t xml:space="preserve">В графе 3 указываются данные о </w:t>
      </w:r>
      <w:r>
        <w:rPr>
          <w:b/>
          <w:bCs/>
          <w:sz w:val="28"/>
          <w:szCs w:val="28"/>
          <w:highlight w:val="none"/>
        </w:rPr>
        <w:t xml:space="preserve">переоценке основных фондов</w:t>
      </w:r>
      <w:r>
        <w:rPr>
          <w:sz w:val="28"/>
          <w:szCs w:val="28"/>
          <w:highlight w:val="none"/>
        </w:rPr>
        <w:t xml:space="preserve">, если таковая проводилась в течение отчетного года.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pStyle w:val="860"/>
        <w:ind w:firstLine="708"/>
        <w:jc w:val="both"/>
        <w:spacing w:before="8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граф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 11, 12 </w:t>
      </w:r>
      <w:r>
        <w:rPr>
          <w:sz w:val="28"/>
          <w:szCs w:val="28"/>
        </w:rPr>
        <w:t xml:space="preserve">по всем строкам </w:t>
      </w:r>
      <w:r>
        <w:rPr>
          <w:sz w:val="28"/>
          <w:szCs w:val="28"/>
        </w:rPr>
        <w:t xml:space="preserve">отражается износ (амортизация), начисленный только в отчетном 2023 году, а не нарастающий за все года </w:t>
        <w:br/>
        <w:t xml:space="preserve">(cм. Указания стр.37 </w:t>
      </w:r>
      <w:r>
        <w:rPr>
          <w:sz w:val="28"/>
          <w:szCs w:val="28"/>
        </w:rPr>
        <w:t xml:space="preserve">разде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 2.1 </w:t>
      </w:r>
      <w:r>
        <w:rPr>
          <w:sz w:val="28"/>
          <w:szCs w:val="28"/>
        </w:rPr>
        <w:t xml:space="preserve">п.15). Поэтому, </w:t>
      </w:r>
      <w:r>
        <w:rPr>
          <w:sz w:val="28"/>
          <w:szCs w:val="28"/>
        </w:rPr>
        <w:t xml:space="preserve">разница </w:t>
      </w:r>
      <w:r>
        <w:rPr>
          <w:sz w:val="28"/>
          <w:szCs w:val="28"/>
        </w:rPr>
        <w:t xml:space="preserve">граф 9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 xml:space="preserve">должна быть больше</w:t>
      </w:r>
      <w:r>
        <w:rPr>
          <w:sz w:val="28"/>
          <w:szCs w:val="28"/>
        </w:rPr>
        <w:t xml:space="preserve"> граф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 11 (12). </w:t>
      </w:r>
      <w:r>
        <w:rPr>
          <w:sz w:val="28"/>
          <w:szCs w:val="28"/>
        </w:rPr>
        <w:t xml:space="preserve">Исключение составляет случай, когда графа 4 равна графе 9, т.е. все новые основные фонды поступили в отчетном году.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60"/>
        <w:ind w:firstLine="708"/>
        <w:jc w:val="both"/>
        <w:spacing w:before="80"/>
        <w:rPr>
          <w:sz w:val="28"/>
          <w:szCs w:val="28"/>
        </w:rPr>
      </w:pPr>
      <w:r>
        <w:rPr>
          <w:sz w:val="28"/>
          <w:szCs w:val="28"/>
        </w:rPr>
        <w:t xml:space="preserve">В строке 14 </w:t>
      </w:r>
      <w:r>
        <w:rPr>
          <w:sz w:val="28"/>
          <w:szCs w:val="28"/>
        </w:rPr>
        <w:t xml:space="preserve">«Другие, не перечисленные выше, виды основных фондов» отражается очень узкий перечень основных средств: библиотечный фонд, копии произведений искусства, спортивное, охотничье оружие и др. (cм. Указания стр. 28</w:t>
      </w:r>
      <w:r>
        <w:rPr>
          <w:sz w:val="28"/>
          <w:szCs w:val="28"/>
        </w:rPr>
        <w:t xml:space="preserve">, раздел 2.1 п.5). </w:t>
      </w:r>
      <w:r>
        <w:rPr>
          <w:sz w:val="28"/>
          <w:szCs w:val="28"/>
        </w:rPr>
        <w:t xml:space="preserve">Обращаем внимание, что </w:t>
      </w:r>
      <w:r>
        <w:rPr>
          <w:sz w:val="28"/>
          <w:szCs w:val="28"/>
        </w:rPr>
        <w:t xml:space="preserve">по этой строке не должны отражаться </w:t>
      </w:r>
      <w:r>
        <w:rPr>
          <w:sz w:val="28"/>
          <w:szCs w:val="28"/>
        </w:rPr>
        <w:t xml:space="preserve">машины, оборудование, инвентарь, которые нужно перенести в строки 05, 06, 07</w:t>
      </w:r>
      <w:r>
        <w:rPr>
          <w:sz w:val="28"/>
          <w:szCs w:val="28"/>
        </w:rPr>
        <w:t xml:space="preserve">, а также земля, которая в отчет не включается вообще (т.к. земля не является произведенным активом).</w:t>
      </w:r>
      <w:r>
        <w:rPr>
          <w:sz w:val="28"/>
          <w:szCs w:val="28"/>
          <w:highlight w:val="none"/>
        </w:rPr>
        <w:t xml:space="preserve"> Однако в отчете указываются затраты на коренное улучшение земель (строка 141), т.к. коренное улучшение земель является произведенным активом.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 xml:space="preserve">II</w:t>
      </w:r>
      <w:r>
        <w:rPr>
          <w:b/>
          <w:sz w:val="28"/>
          <w:szCs w:val="28"/>
        </w:rPr>
        <w:t xml:space="preserve"> «Наличие и движение основных фондов по видам экономической деятельности»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Если, в организации все основные фонды относятся к основному виду деятельности, то строка 01 из раздела </w:t>
      </w:r>
      <w:r>
        <w:rPr>
          <w:rFonts w:eastAsia="Calibri"/>
          <w:sz w:val="28"/>
          <w:szCs w:val="28"/>
          <w:lang w:val="en-US" w:eastAsia="en-US"/>
        </w:rPr>
        <w:t xml:space="preserve">I</w:t>
      </w:r>
      <w:r>
        <w:rPr>
          <w:rFonts w:eastAsia="Calibri"/>
          <w:sz w:val="28"/>
          <w:szCs w:val="28"/>
          <w:lang w:eastAsia="en-US"/>
        </w:rPr>
        <w:t xml:space="preserve"> полностью дублируется по строке 15</w:t>
      </w:r>
      <w:r>
        <w:rPr>
          <w:rFonts w:eastAsia="Calibri"/>
          <w:sz w:val="28"/>
          <w:szCs w:val="28"/>
          <w:lang w:eastAsia="en-US"/>
        </w:rPr>
        <w:t xml:space="preserve">, в графе </w:t>
      </w:r>
      <w:r>
        <w:rPr>
          <w:rFonts w:eastAsia="Calibri"/>
          <w:sz w:val="28"/>
          <w:szCs w:val="28"/>
          <w:lang w:val="en-US" w:eastAsia="en-US"/>
        </w:rPr>
        <w:t xml:space="preserve">B</w:t>
      </w:r>
      <w:r>
        <w:rPr>
          <w:rFonts w:eastAsia="Calibri"/>
          <w:sz w:val="28"/>
          <w:szCs w:val="28"/>
          <w:lang w:eastAsia="en-US"/>
        </w:rPr>
        <w:t xml:space="preserve"> проставляется буква из английского алфавита, которая соответствует цифровому коду ВЭД из таблицы (Приложение 2 к Указаниям).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Если в организации помимо основного вида деятельности имеются основные фонды других структурных подразделений (например, на предприятии помимо основного производства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(буква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  <w:t xml:space="preserve">С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) имеется своя столовая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(буква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val="en-US" w:eastAsia="en-US"/>
        </w:rPr>
        <w:t xml:space="preserve">I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), спортзал</w:t>
      </w:r>
      <w:r>
        <w:rPr>
          <w:rFonts w:eastAsia="Calibri"/>
          <w:sz w:val="28"/>
          <w:szCs w:val="28"/>
          <w:lang w:eastAsia="en-US"/>
        </w:rPr>
        <w:t xml:space="preserve"> (буква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val="en-US" w:eastAsia="en-US"/>
        </w:rPr>
        <w:t xml:space="preserve">R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, медпункт</w:t>
      </w:r>
      <w:r>
        <w:rPr>
          <w:rFonts w:eastAsia="Calibri"/>
          <w:sz w:val="28"/>
          <w:szCs w:val="28"/>
          <w:lang w:eastAsia="en-US"/>
        </w:rPr>
        <w:t xml:space="preserve"> (буква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val="en-US" w:eastAsia="en-US"/>
        </w:rPr>
        <w:t xml:space="preserve">Q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, которые могут оказывать услуги на сторону), то основные фонды расписываются по нескольким буквам</w:t>
      </w:r>
      <w:r>
        <w:rPr>
          <w:rFonts w:eastAsia="Calibri"/>
          <w:sz w:val="28"/>
          <w:szCs w:val="28"/>
          <w:lang w:eastAsia="en-US"/>
        </w:rPr>
        <w:t xml:space="preserve">. Сумма строк 15-1,15-2,15-3 и т.д. дадут строку 01 из раздела </w:t>
      </w:r>
      <w:r>
        <w:rPr>
          <w:rFonts w:eastAsia="Calibri"/>
          <w:sz w:val="28"/>
          <w:szCs w:val="28"/>
          <w:lang w:val="en-US" w:eastAsia="en-US"/>
        </w:rPr>
        <w:t xml:space="preserve">I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Если в разделе </w:t>
      </w:r>
      <w:r>
        <w:rPr>
          <w:rFonts w:eastAsia="Calibri"/>
          <w:sz w:val="28"/>
          <w:szCs w:val="28"/>
          <w:lang w:val="en-US" w:eastAsia="en-US"/>
        </w:rPr>
        <w:t xml:space="preserve">I</w:t>
      </w:r>
      <w:r>
        <w:rPr>
          <w:rFonts w:eastAsia="Calibri"/>
          <w:sz w:val="28"/>
          <w:szCs w:val="28"/>
          <w:lang w:eastAsia="en-US"/>
        </w:rPr>
        <w:t xml:space="preserve"> из строки 02 заполнена строка 03 «Жилые здания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, то в разделе </w:t>
      </w:r>
      <w:r>
        <w:rPr>
          <w:rFonts w:eastAsia="Calibri"/>
          <w:sz w:val="28"/>
          <w:szCs w:val="28"/>
          <w:lang w:val="en-US" w:eastAsia="en-US"/>
        </w:rPr>
        <w:t xml:space="preserve">II</w:t>
      </w:r>
      <w:r>
        <w:rPr>
          <w:rFonts w:eastAsia="Calibri"/>
          <w:sz w:val="28"/>
          <w:szCs w:val="28"/>
          <w:lang w:eastAsia="en-US"/>
        </w:rPr>
        <w:t xml:space="preserve"> она должна быть обязательно продублирована по букв</w:t>
      </w:r>
      <w:r>
        <w:rPr>
          <w:rFonts w:eastAsia="Calibri"/>
          <w:sz w:val="28"/>
          <w:szCs w:val="28"/>
          <w:lang w:eastAsia="en-US"/>
        </w:rPr>
        <w:t xml:space="preserve">ам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val="en-US" w:eastAsia="en-US"/>
        </w:rPr>
        <w:t xml:space="preserve">L</w:t>
      </w:r>
      <w:r>
        <w:rPr>
          <w:rFonts w:eastAsia="Calibri"/>
          <w:sz w:val="28"/>
          <w:szCs w:val="28"/>
          <w:lang w:eastAsia="en-US"/>
        </w:rPr>
        <w:t xml:space="preserve">» (жилые здания, квартиры); «</w:t>
      </w:r>
      <w:r>
        <w:rPr>
          <w:rFonts w:eastAsia="Calibri"/>
          <w:sz w:val="28"/>
          <w:szCs w:val="28"/>
          <w:lang w:val="en-US" w:eastAsia="en-US"/>
        </w:rPr>
        <w:t xml:space="preserve">Q</w:t>
      </w:r>
      <w:r>
        <w:rPr>
          <w:rFonts w:eastAsia="Calibri"/>
          <w:sz w:val="28"/>
          <w:szCs w:val="28"/>
          <w:lang w:eastAsia="en-US"/>
        </w:rPr>
        <w:t xml:space="preserve">» (спальные корпуса школ-интернатов, детских домов, домов для престарелых);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val="en-US" w:eastAsia="en-US"/>
        </w:rPr>
        <w:t xml:space="preserve">I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 (общежития).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Спальные корпуса оздоровительных учреждений, например санаториев, домов отдыха, турбаз и т.п. по строке 03 раздела </w:t>
      </w:r>
      <w:r>
        <w:rPr>
          <w:rFonts w:eastAsia="Calibri"/>
          <w:sz w:val="28"/>
          <w:szCs w:val="28"/>
          <w:lang w:val="en-US" w:eastAsia="en-US"/>
        </w:rPr>
        <w:t xml:space="preserve">I</w:t>
      </w:r>
      <w:r>
        <w:rPr>
          <w:rFonts w:eastAsia="Calibri"/>
          <w:sz w:val="28"/>
          <w:szCs w:val="28"/>
          <w:lang w:eastAsia="en-US"/>
        </w:rPr>
        <w:t xml:space="preserve"> не выделяются, т.к. не предназначены для постоянного проживания.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Трубопроводы, газопроводы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внегородские автодороги,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которые относятся к сооружениям и отражаются по строке 04 раздела </w:t>
      </w:r>
      <w:r>
        <w:rPr>
          <w:rFonts w:eastAsia="Calibri"/>
          <w:color w:val="000000"/>
          <w:sz w:val="28"/>
          <w:szCs w:val="28"/>
          <w:lang w:val="en-US" w:eastAsia="en-US"/>
        </w:rPr>
        <w:t xml:space="preserve">I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учитываются по букве «</w:t>
      </w:r>
      <w:r>
        <w:rPr>
          <w:rFonts w:eastAsia="Calibri"/>
          <w:color w:val="000000"/>
          <w:sz w:val="28"/>
          <w:szCs w:val="28"/>
          <w:lang w:val="en-US" w:eastAsia="en-US"/>
        </w:rPr>
        <w:t xml:space="preserve">H</w:t>
      </w:r>
      <w:r>
        <w:rPr>
          <w:rFonts w:eastAsia="Calibri"/>
          <w:color w:val="000000"/>
          <w:sz w:val="28"/>
          <w:szCs w:val="28"/>
          <w:lang w:eastAsia="en-US"/>
        </w:rPr>
        <w:t xml:space="preserve">». Городские дороги – по букве «</w:t>
      </w:r>
      <w:r>
        <w:rPr>
          <w:rFonts w:eastAsia="Calibri"/>
          <w:color w:val="000000"/>
          <w:sz w:val="28"/>
          <w:szCs w:val="28"/>
          <w:lang w:val="en-US" w:eastAsia="en-US"/>
        </w:rPr>
        <w:t xml:space="preserve">N</w:t>
      </w:r>
      <w:r>
        <w:rPr>
          <w:rFonts w:eastAsia="Calibri"/>
          <w:color w:val="000000"/>
          <w:sz w:val="28"/>
          <w:szCs w:val="28"/>
          <w:lang w:eastAsia="en-US"/>
        </w:rPr>
        <w:t xml:space="preserve">».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 xml:space="preserve">III</w:t>
      </w:r>
      <w:r>
        <w:rPr>
          <w:b/>
          <w:sz w:val="28"/>
          <w:szCs w:val="28"/>
        </w:rPr>
        <w:t xml:space="preserve"> «Наличие и средний возраст основных фондов»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Не забывать про строку 23 «Инвестиции, выполненные в отчетном году», которая вытекает из строки 01 графы 4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(cм. Указания стр.</w:t>
      </w:r>
      <w:r>
        <w:rPr>
          <w:sz w:val="28"/>
          <w:szCs w:val="28"/>
        </w:rPr>
        <w:t xml:space="preserve">51</w:t>
      </w:r>
      <w:r>
        <w:rPr>
          <w:sz w:val="28"/>
          <w:szCs w:val="28"/>
        </w:rPr>
        <w:t xml:space="preserve">, раздел 2.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Строка 24 «Среднегодовая полная учетная стоимость» рассчитывается по формуле, которая содержится в сноске 6 бланка, не по остаточной стоимости, а </w:t>
      </w:r>
      <w:r>
        <w:rPr>
          <w:rFonts w:eastAsia="Calibri"/>
          <w:b/>
          <w:sz w:val="28"/>
          <w:szCs w:val="28"/>
          <w:lang w:eastAsia="en-US"/>
        </w:rPr>
        <w:t xml:space="preserve">по полной</w:t>
      </w:r>
      <w:r>
        <w:rPr>
          <w:rFonts w:eastAsia="Calibri"/>
          <w:b/>
          <w:sz w:val="28"/>
          <w:szCs w:val="28"/>
          <w:lang w:eastAsia="en-US"/>
        </w:rPr>
        <w:t xml:space="preserve"> учетной</w:t>
      </w:r>
      <w:r>
        <w:rPr>
          <w:rFonts w:eastAsia="Calibri"/>
          <w:b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 Ее значение, как правило, находится в пределах между стоимость</w:t>
      </w:r>
      <w:r>
        <w:rPr>
          <w:rFonts w:eastAsia="Calibri"/>
          <w:sz w:val="28"/>
          <w:szCs w:val="28"/>
          <w:lang w:eastAsia="en-US"/>
        </w:rPr>
        <w:t xml:space="preserve">ю</w:t>
      </w:r>
      <w:r>
        <w:rPr>
          <w:rFonts w:eastAsia="Calibri"/>
          <w:sz w:val="28"/>
          <w:szCs w:val="28"/>
          <w:lang w:eastAsia="en-US"/>
        </w:rPr>
        <w:t xml:space="preserve"> на начало и конец года </w:t>
      </w:r>
      <w:r>
        <w:rPr>
          <w:sz w:val="28"/>
          <w:szCs w:val="28"/>
        </w:rPr>
        <w:t xml:space="preserve">(cм. Указания стр.</w:t>
      </w:r>
      <w:r>
        <w:rPr>
          <w:sz w:val="28"/>
          <w:szCs w:val="28"/>
        </w:rPr>
        <w:t xml:space="preserve">52</w:t>
      </w:r>
      <w:r>
        <w:rPr>
          <w:sz w:val="28"/>
          <w:szCs w:val="28"/>
        </w:rPr>
        <w:t xml:space="preserve">, раздел 2.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28</w:t>
      </w:r>
      <w:r>
        <w:rPr>
          <w:sz w:val="28"/>
          <w:szCs w:val="28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Строка 25 «Стоимость фактической продажи основных фондов» не должна совпадать с графой 8 из раздела </w:t>
      </w:r>
      <w:r>
        <w:rPr>
          <w:rFonts w:eastAsia="Calibri"/>
          <w:sz w:val="28"/>
          <w:szCs w:val="28"/>
          <w:lang w:val="en-US" w:eastAsia="en-US"/>
        </w:rPr>
        <w:t xml:space="preserve">I</w:t>
      </w:r>
      <w:r>
        <w:rPr>
          <w:rFonts w:eastAsia="Calibri"/>
          <w:sz w:val="28"/>
          <w:szCs w:val="28"/>
          <w:lang w:eastAsia="en-US"/>
        </w:rPr>
        <w:t xml:space="preserve">, т.к. по этой строке отражается именно рыночная стоимость продажи, которая не равна балансовой.</w:t>
      </w: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Ес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ли в форме № 11 заполнены строки 01 (графы 4, 5), 23, 25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то организация должна предоставить сведения по форме № П-2 (инвест) годовая «Сведения об инвестиционной деятельности», утвержденной приказом Росстата от 31.07.2023г.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 xml:space="preserve">№ 359.</w:t>
      </w:r>
      <w:r>
        <w:rPr>
          <w:rFonts w:eastAsia="Calibri"/>
          <w:color w:val="000000"/>
          <w:sz w:val="28"/>
          <w:szCs w:val="28"/>
        </w:rPr>
      </w:r>
      <w:r>
        <w:rPr>
          <w:rFonts w:eastAsia="Calibri"/>
          <w:color w:val="000000"/>
          <w:sz w:val="28"/>
          <w:szCs w:val="28"/>
        </w:rPr>
      </w:r>
    </w:p>
    <w:p>
      <w:pPr>
        <w:pStyle w:val="860"/>
        <w:ind w:firstLine="708"/>
        <w:jc w:val="both"/>
        <w:spacing w:before="80"/>
        <w:rPr>
          <w:rFonts w:eastAsia="Calibri"/>
          <w:b/>
          <w:bCs/>
          <w:sz w:val="28"/>
          <w:szCs w:val="28"/>
          <w:highlight w:val="none"/>
        </w:rPr>
      </w:pPr>
      <w:r>
        <w:rPr>
          <w:rFonts w:eastAsia="Calibri"/>
          <w:b/>
          <w:sz w:val="28"/>
          <w:szCs w:val="28"/>
          <w:lang w:eastAsia="en-US"/>
        </w:rPr>
        <w:t xml:space="preserve">Луганскстат гарантирует конфиденциальность полученных первичных статистических данных в соответствии с законодательством Российской Федерации.</w:t>
      </w:r>
      <w:r>
        <w:rPr>
          <w:rFonts w:eastAsia="Calibri"/>
          <w:b/>
          <w:bCs/>
          <w:sz w:val="28"/>
          <w:szCs w:val="28"/>
          <w:highlight w:val="none"/>
        </w:rPr>
      </w:r>
      <w:r>
        <w:rPr>
          <w:rFonts w:eastAsia="Calibri"/>
          <w:b/>
          <w:bCs/>
          <w:sz w:val="28"/>
          <w:szCs w:val="28"/>
          <w:highlight w:val="none"/>
        </w:rPr>
      </w:r>
    </w:p>
    <w:p>
      <w:pPr>
        <w:ind w:firstLine="708"/>
        <w:jc w:val="both"/>
        <w:spacing w:before="80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highlight w:val="none"/>
          <w:lang w:eastAsia="en-US"/>
        </w:rPr>
        <w:t xml:space="preserve">Консультации по заполнению формы можно получить по телефону 58-69-03 в отделе региональных счетов и балансов Луганскстата.</w:t>
      </w:r>
      <w:r>
        <w:rPr>
          <w:rFonts w:eastAsia="Calibri"/>
          <w:b w:val="0"/>
          <w:bCs w:val="0"/>
          <w:sz w:val="28"/>
          <w:szCs w:val="28"/>
        </w:rPr>
      </w:r>
      <w:r>
        <w:rPr>
          <w:rFonts w:eastAsia="Calibri"/>
          <w:b w:val="0"/>
          <w:bCs w:val="0"/>
          <w:sz w:val="28"/>
          <w:szCs w:val="28"/>
        </w:rPr>
      </w:r>
    </w:p>
    <w:p>
      <w:pPr>
        <w:pStyle w:val="86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0"/>
        <w:jc w:val="both"/>
      </w:pPr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648" w:right="567" w:bottom="1134" w:left="1134" w:header="315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Noto Sans Devanagari">
    <w:panose1 w:val="020B0502040504020204"/>
  </w:font>
  <w:font w:name="Times New (W1)">
    <w:panose1 w:val="02000603000000000000"/>
  </w:font>
  <w:font w:name="Times New Roman CYR">
    <w:panose1 w:val="02000603000000000000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  <w:p>
    <w:pPr>
      <w:pStyle w:val="87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60"/>
    <w:next w:val="860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3">
    <w:name w:val="Heading 1 Char"/>
    <w:link w:val="682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60"/>
    <w:next w:val="860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60"/>
    <w:next w:val="860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60"/>
    <w:next w:val="860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60"/>
    <w:next w:val="860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60"/>
    <w:next w:val="860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60"/>
    <w:next w:val="860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60"/>
    <w:next w:val="860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60"/>
    <w:next w:val="860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List Paragraph"/>
    <w:basedOn w:val="860"/>
    <w:uiPriority w:val="34"/>
    <w:qFormat/>
    <w:pPr>
      <w:contextualSpacing/>
      <w:ind w:left="720"/>
    </w:pPr>
  </w:style>
  <w:style w:type="paragraph" w:styleId="701">
    <w:name w:val="No Spacing"/>
    <w:uiPriority w:val="1"/>
    <w:qFormat/>
    <w:pPr>
      <w:spacing w:before="0" w:after="0" w:line="240" w:lineRule="auto"/>
    </w:pPr>
  </w:style>
  <w:style w:type="paragraph" w:styleId="702">
    <w:name w:val="Title"/>
    <w:basedOn w:val="860"/>
    <w:next w:val="860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>
    <w:name w:val="Header Char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3">
    <w:name w:val="Footer Char"/>
    <w:link w:val="712"/>
    <w:uiPriority w:val="99"/>
  </w:style>
  <w:style w:type="paragraph" w:styleId="714">
    <w:name w:val="Caption"/>
    <w:basedOn w:val="860"/>
    <w:next w:val="8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pPr>
      <w:spacing w:after="40" w:line="240" w:lineRule="auto"/>
    </w:pPr>
    <w:rPr>
      <w:sz w:val="18"/>
    </w:r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pPr>
      <w:spacing w:after="0" w:line="240" w:lineRule="auto"/>
    </w:pPr>
    <w:rPr>
      <w:sz w:val="20"/>
    </w:r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next w:val="860"/>
    <w:link w:val="860"/>
    <w:qFormat/>
    <w:rPr>
      <w:sz w:val="24"/>
      <w:szCs w:val="24"/>
      <w:lang w:val="ru-RU" w:eastAsia="zh-CN" w:bidi="ar-SA"/>
    </w:rPr>
  </w:style>
  <w:style w:type="character" w:styleId="861">
    <w:name w:val="Основной шрифт абзаца"/>
    <w:next w:val="861"/>
    <w:link w:val="860"/>
    <w:uiPriority w:val="1"/>
    <w:semiHidden/>
    <w:unhideWhenUsed/>
  </w:style>
  <w:style w:type="table" w:styleId="862">
    <w:name w:val="Обычная таблица"/>
    <w:next w:val="862"/>
    <w:link w:val="860"/>
    <w:uiPriority w:val="99"/>
    <w:semiHidden/>
    <w:unhideWhenUsed/>
    <w:tblPr/>
  </w:style>
  <w:style w:type="numbering" w:styleId="863">
    <w:name w:val="Нет списка"/>
    <w:next w:val="863"/>
    <w:link w:val="860"/>
    <w:uiPriority w:val="99"/>
    <w:semiHidden/>
    <w:unhideWhenUsed/>
  </w:style>
  <w:style w:type="character" w:styleId="864">
    <w:name w:val="Шрифт абзацу за промовчанням"/>
    <w:next w:val="864"/>
    <w:link w:val="860"/>
  </w:style>
  <w:style w:type="character" w:styleId="865">
    <w:name w:val="Текст покажчика місця заповнення"/>
    <w:next w:val="865"/>
    <w:link w:val="860"/>
    <w:rPr>
      <w:color w:val="808080"/>
    </w:rPr>
  </w:style>
  <w:style w:type="character" w:styleId="866">
    <w:name w:val="Гиперссылка"/>
    <w:next w:val="866"/>
    <w:link w:val="860"/>
    <w:rPr>
      <w:color w:val="0000ff"/>
      <w:u w:val="single"/>
    </w:rPr>
  </w:style>
  <w:style w:type="character" w:styleId="867">
    <w:name w:val="Неразрешенное упоминание1"/>
    <w:next w:val="867"/>
    <w:link w:val="860"/>
    <w:rPr>
      <w:color w:val="605e5c"/>
      <w:shd w:val="clear" w:color="auto" w:fill="e1dfdd"/>
    </w:rPr>
  </w:style>
  <w:style w:type="character" w:styleId="868">
    <w:name w:val="Верхній колонтитул Знак"/>
    <w:next w:val="868"/>
    <w:link w:val="860"/>
    <w:rPr>
      <w:rFonts w:ascii="Times New Roman CYR" w:hAnsi="Times New Roman CYR" w:cs="Times New Roman CYR"/>
      <w:bCs/>
      <w:sz w:val="24"/>
      <w:szCs w:val="24"/>
    </w:rPr>
  </w:style>
  <w:style w:type="character" w:styleId="869">
    <w:name w:val="Основний текст Знак"/>
    <w:next w:val="869"/>
    <w:link w:val="860"/>
    <w:rPr>
      <w:rFonts w:ascii="Times New (W1)" w:hAnsi="Times New (W1)" w:cs="Times New (W1)"/>
      <w:sz w:val="28"/>
    </w:rPr>
  </w:style>
  <w:style w:type="character" w:styleId="870">
    <w:name w:val="Нижній колонтитул Знак"/>
    <w:next w:val="870"/>
    <w:link w:val="860"/>
    <w:rPr>
      <w:sz w:val="24"/>
      <w:szCs w:val="24"/>
      <w:lang w:val="ru-RU"/>
    </w:rPr>
  </w:style>
  <w:style w:type="paragraph" w:styleId="871">
    <w:name w:val="Заголовок"/>
    <w:basedOn w:val="860"/>
    <w:next w:val="872"/>
    <w:link w:val="860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72">
    <w:name w:val="Основной текст"/>
    <w:basedOn w:val="860"/>
    <w:next w:val="872"/>
    <w:link w:val="860"/>
    <w:rPr>
      <w:rFonts w:ascii="Times New (W1)" w:hAnsi="Times New (W1)" w:cs="Times New (W1)"/>
      <w:sz w:val="28"/>
      <w:szCs w:val="20"/>
    </w:rPr>
  </w:style>
  <w:style w:type="paragraph" w:styleId="873">
    <w:name w:val="Список"/>
    <w:basedOn w:val="872"/>
    <w:next w:val="873"/>
    <w:link w:val="860"/>
    <w:rPr>
      <w:rFonts w:ascii="PT Astra Serif" w:hAnsi="PT Astra Serif" w:cs="Noto Sans Devanagari"/>
    </w:rPr>
  </w:style>
  <w:style w:type="paragraph" w:styleId="874">
    <w:name w:val="Название объекта"/>
    <w:basedOn w:val="860"/>
    <w:next w:val="874"/>
    <w:link w:val="860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75">
    <w:name w:val="Указатель1"/>
    <w:basedOn w:val="860"/>
    <w:next w:val="875"/>
    <w:link w:val="860"/>
    <w:pPr>
      <w:suppressLineNumbers/>
    </w:pPr>
    <w:rPr>
      <w:rFonts w:ascii="PT Astra Serif" w:hAnsi="PT Astra Serif" w:cs="Noto Sans Devanagari"/>
      <w:lang w:val="en-US" w:eastAsia="en-US" w:bidi="en-US"/>
    </w:rPr>
  </w:style>
  <w:style w:type="paragraph" w:styleId="876">
    <w:name w:val="Текст у виносці"/>
    <w:basedOn w:val="860"/>
    <w:next w:val="876"/>
    <w:link w:val="860"/>
    <w:rPr>
      <w:rFonts w:ascii="Tahoma" w:hAnsi="Tahoma" w:cs="Tahoma"/>
      <w:sz w:val="16"/>
      <w:szCs w:val="16"/>
    </w:rPr>
  </w:style>
  <w:style w:type="paragraph" w:styleId="877">
    <w:name w:val="Normal1"/>
    <w:next w:val="877"/>
    <w:link w:val="860"/>
    <w:pPr>
      <w:jc w:val="center"/>
      <w:spacing w:line="276" w:lineRule="auto"/>
      <w:widowControl w:val="off"/>
    </w:pPr>
    <w:rPr>
      <w:b/>
      <w:lang w:val="ru-RU" w:eastAsia="zh-CN" w:bidi="ar-SA"/>
    </w:rPr>
  </w:style>
  <w:style w:type="paragraph" w:styleId="878">
    <w:name w:val="Колонтитул"/>
    <w:basedOn w:val="860"/>
    <w:next w:val="878"/>
    <w:link w:val="860"/>
    <w:pPr>
      <w:tabs>
        <w:tab w:val="center" w:pos="4819" w:leader="none"/>
        <w:tab w:val="right" w:pos="9638" w:leader="none"/>
      </w:tabs>
      <w:suppressLineNumbers/>
    </w:pPr>
  </w:style>
  <w:style w:type="paragraph" w:styleId="879">
    <w:name w:val="Верхний колонтитул"/>
    <w:basedOn w:val="860"/>
    <w:next w:val="879"/>
    <w:link w:val="860"/>
    <w:pPr>
      <w:ind w:left="0" w:right="0" w:firstLine="709"/>
      <w:jc w:val="both"/>
    </w:pPr>
    <w:rPr>
      <w:rFonts w:ascii="Times New Roman CYR" w:hAnsi="Times New Roman CYR" w:cs="Times New Roman CYR"/>
      <w:bCs/>
    </w:rPr>
  </w:style>
  <w:style w:type="paragraph" w:styleId="880">
    <w:name w:val="Нижний колонтитул"/>
    <w:basedOn w:val="860"/>
    <w:next w:val="880"/>
    <w:link w:val="860"/>
    <w:pPr>
      <w:tabs>
        <w:tab w:val="center" w:pos="4677" w:leader="none"/>
        <w:tab w:val="right" w:pos="9355" w:leader="none"/>
      </w:tabs>
    </w:pPr>
  </w:style>
  <w:style w:type="paragraph" w:styleId="881">
    <w:name w:val="Содержимое таблицы"/>
    <w:basedOn w:val="860"/>
    <w:next w:val="881"/>
    <w:link w:val="860"/>
    <w:pPr>
      <w:widowControl w:val="off"/>
      <w:suppressLineNumbers/>
    </w:pPr>
  </w:style>
  <w:style w:type="paragraph" w:styleId="882">
    <w:name w:val="Заголовок таблицы"/>
    <w:basedOn w:val="881"/>
    <w:next w:val="882"/>
    <w:link w:val="860"/>
    <w:pPr>
      <w:jc w:val="center"/>
      <w:suppressLineNumbers/>
    </w:pPr>
    <w:rPr>
      <w:b/>
      <w:bCs/>
    </w:rPr>
  </w:style>
  <w:style w:type="paragraph" w:styleId="883">
    <w:name w:val="Содержимое врезки"/>
    <w:basedOn w:val="860"/>
    <w:next w:val="883"/>
    <w:link w:val="860"/>
  </w:style>
  <w:style w:type="character" w:styleId="884" w:default="1">
    <w:name w:val="Default Paragraph Font"/>
    <w:uiPriority w:val="1"/>
    <w:semiHidden/>
    <w:unhideWhenUsed/>
  </w:style>
  <w:style w:type="numbering" w:styleId="885" w:default="1">
    <w:name w:val="No List"/>
    <w:uiPriority w:val="99"/>
    <w:semiHidden/>
    <w:unhideWhenUsed/>
  </w:style>
  <w:style w:type="table" w:styleId="8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https://81.rosstat.gov.ru/" TargetMode="External"/><Relationship Id="rId11" Type="http://schemas.openxmlformats.org/officeDocument/2006/relationships/hyperlink" Target="https://websbor.rosstat.gov.ru/online/" TargetMode="External"/><Relationship Id="rId12" Type="http://schemas.openxmlformats.org/officeDocument/2006/relationships/hyperlink" Target="https://websbor.rosstat.gov.ru/online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Rosstat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Пользователь</dc:creator>
  <cp:revision>8</cp:revision>
  <dcterms:created xsi:type="dcterms:W3CDTF">2023-04-07T12:11:00Z</dcterms:created>
  <dcterms:modified xsi:type="dcterms:W3CDTF">2024-02-07T08:46:31Z</dcterms:modified>
  <cp:version>917504</cp:version>
</cp:coreProperties>
</file>